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Уважаемые партнеры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sz w:val="24"/>
          <w:szCs w:val="24"/>
        </w:rPr>
        <w:t xml:space="preserve">Акционерное общество "Объединенные Русские Киностудии" заинтересованно в обновлении автопарка. </w:t>
      </w:r>
    </w:p>
    <w:p>
      <w:pPr>
        <w:pStyle w:val="Normal"/>
        <w:spacing w:lineRule="atLeast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связи, с чем извещаем Вас о проведении открытого запроса предложений на поставку данного оборудования.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Просим Вас направить коммерческие предложения в запечатанном конверте в срок до </w:t>
      </w:r>
      <w:r>
        <w:rPr>
          <w:rFonts w:cs="Times New Roman" w:ascii="Times New Roman" w:hAnsi="Times New Roman"/>
          <w:sz w:val="24"/>
          <w:szCs w:val="24"/>
        </w:rPr>
        <w:t xml:space="preserve">17:45, </w:t>
      </w:r>
      <w:r>
        <w:rPr>
          <w:rFonts w:cs="Times New Roman" w:ascii="Times New Roman" w:hAnsi="Times New Roman"/>
          <w:sz w:val="24"/>
          <w:szCs w:val="24"/>
        </w:rPr>
        <w:t>12 июня 2020 года в офис АО  «ОРК» по адресу: 197348, г. Санкт-Петербург  ул. Генерала Хрулева д.9 лит А., АО «ОРК» - Открытый запрос предложений для Мажурина Егора</w:t>
      </w:r>
    </w:p>
    <w:p>
      <w:pPr>
        <w:pStyle w:val="Normal"/>
        <w:spacing w:lineRule="atLeast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Коммерческое предложение должно содержать: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 за единицу, с выделенным НДС;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Сроки изготовления и поставки;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доставки;</w:t>
      </w:r>
    </w:p>
    <w:p>
      <w:pPr>
        <w:pStyle w:val="ListParagraph"/>
        <w:numPr>
          <w:ilvl w:val="0"/>
          <w:numId w:val="2"/>
        </w:numPr>
        <w:spacing w:lineRule="atLeast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оплаты (отсрочка платежа, разбивка)</w:t>
      </w:r>
    </w:p>
    <w:p>
      <w:pPr>
        <w:pStyle w:val="Normal"/>
        <w:spacing w:lineRule="atLeast" w:line="240" w:before="0" w:after="0"/>
        <w:ind w:left="6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следующ</w:t>
      </w:r>
      <w:r>
        <w:rPr>
          <w:rFonts w:cs="Times New Roman" w:ascii="Times New Roman" w:hAnsi="Times New Roman"/>
          <w:sz w:val="24"/>
          <w:szCs w:val="24"/>
        </w:rPr>
        <w:t xml:space="preserve">ую </w:t>
      </w:r>
      <w:r>
        <w:rPr>
          <w:rFonts w:cs="Times New Roman" w:ascii="Times New Roman" w:hAnsi="Times New Roman"/>
          <w:sz w:val="24"/>
          <w:szCs w:val="24"/>
        </w:rPr>
        <w:t>позици</w:t>
      </w:r>
      <w:r>
        <w:rPr>
          <w:rFonts w:cs="Times New Roman" w:ascii="Times New Roman" w:hAnsi="Times New Roman"/>
          <w:sz w:val="24"/>
          <w:szCs w:val="24"/>
        </w:rPr>
        <w:t>ю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tLeast" w:line="240" w:before="0" w:after="0"/>
        <w:ind w:left="6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Передвижной мобильный туалет на базе шасси двуосного прицепа, </w:t>
      </w:r>
      <w:r>
        <w:rPr>
          <w:rFonts w:cs="Times New Roman" w:ascii="Times New Roman" w:hAnsi="Times New Roman"/>
          <w:b/>
          <w:bCs/>
          <w:sz w:val="26"/>
          <w:szCs w:val="26"/>
        </w:rPr>
        <w:t>со следующими характеристиками</w:t>
      </w:r>
      <w:r>
        <w:rPr>
          <w:rFonts w:cs="Times New Roman" w:ascii="Times New Roman" w:hAnsi="Times New Roman"/>
          <w:b/>
          <w:bCs/>
          <w:sz w:val="26"/>
          <w:szCs w:val="26"/>
        </w:rPr>
        <w:t>: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rPr/>
      </w:pPr>
      <w:r>
        <w:rPr/>
        <w:t>Утепленный модуль на шасси прицепа, отвечающий требованием БДД, Сертификации производства, Одобрения типа ТС, с последующей выдачей ПТС и гарантией беспрепятственной постановки на учет в органах ГИБДД с выдачей регистрационных знаков;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color w:val="000000"/>
        </w:rPr>
      </w:pPr>
      <w:r>
        <w:rPr>
          <w:color w:val="000000"/>
        </w:rPr>
        <w:t>Внутренние размеры кузова прицепа не менее: длина 3 900 мм, ширина 2100мм, высота 2 000мм;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color w:val="000000"/>
        </w:rPr>
      </w:pPr>
      <w:r>
        <w:rPr>
          <w:color w:val="000000"/>
        </w:rPr>
        <w:t>Габаритные размеры прицепа не менее: длина 5 500 мм, ширина 2 200 мм, высота 2 550мм;</w:t>
      </w:r>
    </w:p>
    <w:p>
      <w:pPr>
        <w:pStyle w:val="ListParagraph"/>
        <w:numPr>
          <w:ilvl w:val="0"/>
          <w:numId w:val="3"/>
        </w:numPr>
        <w:rPr/>
      </w:pPr>
      <w:r>
        <w:rPr>
          <w:color w:val="000000"/>
        </w:rPr>
        <w:t>Полная масса не более 3500 кг;</w:t>
      </w:r>
    </w:p>
    <w:p>
      <w:pPr>
        <w:pStyle w:val="ListParagraph"/>
        <w:numPr>
          <w:ilvl w:val="0"/>
          <w:numId w:val="3"/>
        </w:numPr>
        <w:rPr/>
      </w:pPr>
      <w:r>
        <w:rPr/>
        <w:t>Система механических «аутригеров» для стабилизации, способная зафиксировать модуль/прицеп до неподвижного состояния;</w:t>
      </w:r>
    </w:p>
    <w:p>
      <w:pPr>
        <w:pStyle w:val="ListParagraph"/>
        <w:numPr>
          <w:ilvl w:val="0"/>
          <w:numId w:val="3"/>
        </w:numPr>
        <w:rPr/>
      </w:pPr>
      <w:r>
        <w:rPr/>
        <w:t>Модуль состоит из трех [3] отсеков, где два [2] отсека несут функцию туалета, один [1] отсек выполняет сервисную функцию для размещения сопутствующего оборудования. Расположение отсеков модуля отображены в техническом эскизе (рис.1);</w:t>
      </w:r>
    </w:p>
    <w:p>
      <w:pPr>
        <w:pStyle w:val="ListParagraph"/>
        <w:numPr>
          <w:ilvl w:val="0"/>
          <w:numId w:val="3"/>
        </w:numPr>
        <w:rPr/>
      </w:pPr>
      <w:r>
        <w:rPr/>
        <w:t>Дверная группа [2 шт.].  Расположены с правой стороны по ходу движения прицепа с реализованной системой встраиваемых или приставных лестниц. (место хранения лестниц должно быть технически предусмотрено для постоянной перевозки и эксплуатации комплексом);</w:t>
      </w:r>
    </w:p>
    <w:p>
      <w:pPr>
        <w:pStyle w:val="ListParagraph"/>
        <w:numPr>
          <w:ilvl w:val="0"/>
          <w:numId w:val="3"/>
        </w:numPr>
        <w:rPr/>
      </w:pPr>
      <w:r>
        <w:rPr/>
        <w:t>Дверная группа или люк [1 шт.] с противоположной стороны от входной группы для обслуживания сервисной зоны;</w:t>
      </w:r>
    </w:p>
    <w:p>
      <w:pPr>
        <w:pStyle w:val="ListParagraph"/>
        <w:numPr>
          <w:ilvl w:val="0"/>
          <w:numId w:val="3"/>
        </w:numPr>
        <w:rPr/>
      </w:pPr>
      <w:r>
        <w:rPr/>
        <w:t>Каждый отсек для общего пользования оборудован антивандальным унитазом, раковиной, зеркалом, обогревателем, освещением, навесным оборудованием для хранения и использования средств личной гигиены;</w:t>
      </w:r>
    </w:p>
    <w:p>
      <w:pPr>
        <w:pStyle w:val="ListParagraph"/>
        <w:numPr>
          <w:ilvl w:val="0"/>
          <w:numId w:val="3"/>
        </w:numPr>
        <w:rPr/>
      </w:pPr>
      <w:r>
        <w:rPr/>
        <w:t>Отделка отсеков общего пользования выполнена из износостойких материалов и предусматривает высокий уровень объема использования в режиме 24/7%;</w:t>
      </w:r>
    </w:p>
    <w:p>
      <w:pPr>
        <w:pStyle w:val="ListParagraph"/>
        <w:numPr>
          <w:ilvl w:val="0"/>
          <w:numId w:val="3"/>
        </w:numPr>
        <w:rPr/>
      </w:pPr>
      <w:r>
        <w:rPr/>
        <w:t>Сервисный отсек предусматривает установку необходимого оборудования для обеспечения модуля чистой холодной и горячей водой, сбора серой воды и нечистот. Обслуживание модуля не предусматривает дополнительной инфраструктуры, кроме пополнения запаса чистой воды и слива/откачивания (штатная система) нечистот;</w:t>
      </w:r>
    </w:p>
    <w:p>
      <w:pPr>
        <w:pStyle w:val="ListParagraph"/>
        <w:numPr>
          <w:ilvl w:val="0"/>
          <w:numId w:val="3"/>
        </w:numPr>
        <w:rPr/>
      </w:pPr>
      <w:r>
        <w:rPr/>
        <w:t>Объем запаса воды [&gt;200 л.] и хранения нечистот [&gt;400 л.] предусматривает до [300] посещений за один межсервисный период. Запас горячей воды в системе составляет не менее [50 литров];</w:t>
      </w:r>
    </w:p>
    <w:p>
      <w:pPr>
        <w:pStyle w:val="ListParagraph"/>
        <w:numPr>
          <w:ilvl w:val="0"/>
          <w:numId w:val="3"/>
        </w:numPr>
        <w:rPr/>
      </w:pPr>
      <w:r>
        <w:rPr/>
        <w:t>Система вентиляции (вытяжка) в каждом отсеке модуля;</w:t>
      </w:r>
    </w:p>
    <w:p>
      <w:pPr>
        <w:pStyle w:val="ListParagraph"/>
        <w:numPr>
          <w:ilvl w:val="0"/>
          <w:numId w:val="3"/>
        </w:numPr>
        <w:rPr/>
      </w:pPr>
      <w:r>
        <w:rPr/>
        <w:t>Электропитание 3-х фазное 32А / 1 фазное 32А , внешнее;</w:t>
      </w:r>
    </w:p>
    <w:p>
      <w:pPr>
        <w:pStyle w:val="ListParagraph"/>
        <w:numPr>
          <w:ilvl w:val="0"/>
          <w:numId w:val="3"/>
        </w:numPr>
        <w:rPr/>
      </w:pPr>
      <w:r>
        <w:rPr/>
        <w:t>Эксплуатация комплекса в температурном режиме +/-35С;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17310" cy="54190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541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Условия расчетов:</w:t>
      </w:r>
      <w:r>
        <w:rPr>
          <w:rFonts w:cs="Times New Roman" w:ascii="Times New Roman" w:hAnsi="Times New Roman"/>
          <w:sz w:val="24"/>
          <w:szCs w:val="24"/>
        </w:rPr>
        <w:t xml:space="preserve"> для обеспечения надлежавшего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т.ч. вследствие возможной неблагонадежности или неплатежеспособности банков-корреспондентов, </w:t>
      </w:r>
      <w:r>
        <w:rPr>
          <w:rFonts w:cs="Times New Roman" w:ascii="Times New Roman" w:hAnsi="Times New Roman"/>
          <w:b/>
          <w:sz w:val="24"/>
          <w:szCs w:val="24"/>
        </w:rPr>
        <w:t xml:space="preserve">все платежи и расчеты по сторон по Договору должны осуществляться через банковские счета сторон, открытые в ПАО «МТС-Банк». </w:t>
      </w:r>
      <w:r>
        <w:rPr>
          <w:rFonts w:cs="Times New Roman" w:ascii="Times New Roman" w:hAnsi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банковскую гарантию,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аккредитив,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залог денежных средств на счете, или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комбинацию перечисленных выше способов обеспечения обязательств.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Для последующего заключения договора просим Вас приложить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>
      <w:pPr>
        <w:pStyle w:val="Normal"/>
        <w:spacing w:beforeAutospacing="1" w:afterAutospacing="1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>
      <w:pPr>
        <w:pStyle w:val="PlainTex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>
      <w:pPr>
        <w:pStyle w:val="PlainTex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Копия учредительных документов в последней редакции;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свидетельства о регистрации;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свидетельства о постановке на налоговый учет;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Справка за подписью руководителя единоличного исполнительного органа Контрагента, подтверждающую отсутствие изменений в учредительных документах;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hanging="360"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Normal"/>
        <w:spacing w:beforeAutospacing="1" w:afterAutospacing="1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PlainText"/>
        <w:ind w:left="851" w:hanging="0"/>
        <w:jc w:val="both"/>
        <w:rPr/>
      </w:pPr>
      <w:r>
        <w:rPr/>
      </w:r>
    </w:p>
    <w:p>
      <w:pPr>
        <w:pStyle w:val="PlainText"/>
        <w:ind w:left="85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>
      <w:pPr>
        <w:pStyle w:val="PlainText"/>
        <w:ind w:left="85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Мажурин Егор.</w:t>
      </w:r>
    </w:p>
    <w:p>
      <w:pPr>
        <w:pStyle w:val="PlainText"/>
        <w:ind w:left="85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e.mazhurin@rustudios.ru</w:t>
      </w:r>
    </w:p>
    <w:p>
      <w:pPr>
        <w:pStyle w:val="PlainText"/>
        <w:ind w:left="851" w:hanging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487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70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qFormat/>
    <w:rsid w:val="00df06f3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31573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unhideWhenUsed/>
    <w:qFormat/>
    <w:rsid w:val="00df06f3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IntenseQuote">
    <w:name w:val="Intense Quote"/>
    <w:basedOn w:val="Normal"/>
    <w:next w:val="Normal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LibreOffice/6.4.2.2$Windows_x86 LibreOffice_project/4e471d8c02c9c90f512f7f9ead8875b57fcb1ec3</Application>
  <Pages>3</Pages>
  <Words>766</Words>
  <Characters>5124</Characters>
  <CharactersWithSpaces>5825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2020-05-22T16:51:00Z</dcterms:created>
  <dc:creator>Михайлов Евгений Васильевич</dc:creator>
  <dc:description/>
  <dc:language>ru-RU</dc:language>
  <cp:lastModifiedBy/>
  <cp:lastPrinted>2016-03-02T14:43:00Z</cp:lastPrinted>
  <dcterms:modified xsi:type="dcterms:W3CDTF">2020-05-29T10:12:16Z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